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CCE" w:rsidRPr="00624CCE" w:rsidRDefault="00624CCE" w:rsidP="00624CCE">
      <w:pPr>
        <w:jc w:val="center"/>
        <w:rPr>
          <w:b/>
          <w:sz w:val="56"/>
          <w:szCs w:val="56"/>
        </w:rPr>
      </w:pPr>
      <w:r w:rsidRPr="00624CCE">
        <w:rPr>
          <w:b/>
          <w:sz w:val="56"/>
          <w:szCs w:val="56"/>
        </w:rPr>
        <w:t>FREQUENTLY ASKED TRAVEL QUESTIONS</w:t>
      </w:r>
    </w:p>
    <w:p w:rsidR="00035BD1" w:rsidRPr="00801064" w:rsidRDefault="00035BD1">
      <w:pPr>
        <w:rPr>
          <w:b/>
        </w:rPr>
      </w:pPr>
      <w:r w:rsidRPr="00801064">
        <w:rPr>
          <w:b/>
        </w:rPr>
        <w:t>General</w:t>
      </w:r>
    </w:p>
    <w:p w:rsidR="003F5480" w:rsidRDefault="00035BD1" w:rsidP="00035BD1">
      <w:pPr>
        <w:ind w:left="720"/>
      </w:pPr>
      <w:r>
        <w:t>Where can I find the NSU Travel Policy?</w:t>
      </w:r>
      <w:r w:rsidR="009F32DC">
        <w:t xml:space="preserve"> </w:t>
      </w:r>
      <w:hyperlink r:id="rId6" w:history="1">
        <w:r w:rsidR="003F5480" w:rsidRPr="00EF71EE">
          <w:rPr>
            <w:rStyle w:val="Hyperlink"/>
          </w:rPr>
          <w:t>https://policies.nsuok.edu/BusinessFinance/Travel/default.aspx</w:t>
        </w:r>
      </w:hyperlink>
    </w:p>
    <w:p w:rsidR="003B5E0F" w:rsidRDefault="003B5E0F" w:rsidP="00035BD1">
      <w:pPr>
        <w:ind w:left="720"/>
      </w:pPr>
      <w:r>
        <w:t>What is a fly vs. drive comparison? How do I make one?</w:t>
      </w:r>
    </w:p>
    <w:p w:rsidR="009F32DC" w:rsidRDefault="00801064" w:rsidP="009F32DC">
      <w:pPr>
        <w:ind w:left="1440"/>
      </w:pPr>
      <w:r>
        <w:t>A fly vs. drive comparison documents the difference in travel expenses between flying and driving, and</w:t>
      </w:r>
      <w:r w:rsidR="00877CDF">
        <w:t xml:space="preserve"> must be completed if you choose to drive out of state on overnight travel. The comparison must include the mileage reimbursement if you drive to your destination, the mileage reimbursement if you drive to the airport, airfare to your destination, and the cost of local transportation at your destination if you fly. There is no set form for this comparison. See the example comparison below.</w:t>
      </w:r>
    </w:p>
    <w:tbl>
      <w:tblPr>
        <w:tblStyle w:val="TableGrid"/>
        <w:tblW w:w="9450" w:type="dxa"/>
        <w:tblInd w:w="-5" w:type="dxa"/>
        <w:tblLook w:val="04A0" w:firstRow="1" w:lastRow="0" w:firstColumn="1" w:lastColumn="0" w:noHBand="0" w:noVBand="1"/>
      </w:tblPr>
      <w:tblGrid>
        <w:gridCol w:w="1551"/>
        <w:gridCol w:w="1009"/>
        <w:gridCol w:w="2390"/>
        <w:gridCol w:w="274"/>
        <w:gridCol w:w="1080"/>
        <w:gridCol w:w="1085"/>
        <w:gridCol w:w="2061"/>
      </w:tblGrid>
      <w:tr w:rsidR="00877CDF" w:rsidTr="009C2675">
        <w:tc>
          <w:tcPr>
            <w:tcW w:w="4950" w:type="dxa"/>
            <w:gridSpan w:val="3"/>
            <w:tcBorders>
              <w:right w:val="single" w:sz="4" w:space="0" w:color="auto"/>
            </w:tcBorders>
          </w:tcPr>
          <w:p w:rsidR="00877CDF" w:rsidRDefault="00877CDF" w:rsidP="009F32DC">
            <w:r>
              <w:t>Fly</w:t>
            </w:r>
          </w:p>
        </w:tc>
        <w:tc>
          <w:tcPr>
            <w:tcW w:w="274" w:type="dxa"/>
            <w:tcBorders>
              <w:top w:val="nil"/>
              <w:left w:val="single" w:sz="4" w:space="0" w:color="auto"/>
              <w:bottom w:val="nil"/>
              <w:right w:val="single" w:sz="4" w:space="0" w:color="auto"/>
            </w:tcBorders>
          </w:tcPr>
          <w:p w:rsidR="00877CDF" w:rsidRDefault="00877CDF" w:rsidP="009F32DC"/>
        </w:tc>
        <w:tc>
          <w:tcPr>
            <w:tcW w:w="4226" w:type="dxa"/>
            <w:gridSpan w:val="3"/>
            <w:tcBorders>
              <w:left w:val="single" w:sz="4" w:space="0" w:color="auto"/>
            </w:tcBorders>
          </w:tcPr>
          <w:p w:rsidR="00877CDF" w:rsidRDefault="00877CDF" w:rsidP="009F32DC">
            <w:r>
              <w:t>Drive</w:t>
            </w:r>
          </w:p>
        </w:tc>
      </w:tr>
      <w:tr w:rsidR="009C2675" w:rsidTr="009C2675">
        <w:tc>
          <w:tcPr>
            <w:tcW w:w="1551" w:type="dxa"/>
            <w:shd w:val="clear" w:color="auto" w:fill="D0CECE" w:themeFill="background2" w:themeFillShade="E6"/>
          </w:tcPr>
          <w:p w:rsidR="00877CDF" w:rsidRDefault="00877CDF" w:rsidP="009F32DC"/>
        </w:tc>
        <w:tc>
          <w:tcPr>
            <w:tcW w:w="1009" w:type="dxa"/>
            <w:shd w:val="clear" w:color="auto" w:fill="D0CECE" w:themeFill="background2" w:themeFillShade="E6"/>
          </w:tcPr>
          <w:p w:rsidR="00877CDF" w:rsidRDefault="00877CDF" w:rsidP="009F32DC">
            <w:r>
              <w:t>Amount</w:t>
            </w:r>
          </w:p>
        </w:tc>
        <w:tc>
          <w:tcPr>
            <w:tcW w:w="2390" w:type="dxa"/>
            <w:tcBorders>
              <w:right w:val="single" w:sz="4" w:space="0" w:color="auto"/>
            </w:tcBorders>
            <w:shd w:val="clear" w:color="auto" w:fill="D0CECE" w:themeFill="background2" w:themeFillShade="E6"/>
          </w:tcPr>
          <w:p w:rsidR="00877CDF" w:rsidRDefault="00877CDF" w:rsidP="009F32DC">
            <w:r>
              <w:t>Comments</w:t>
            </w:r>
          </w:p>
        </w:tc>
        <w:tc>
          <w:tcPr>
            <w:tcW w:w="274" w:type="dxa"/>
            <w:tcBorders>
              <w:top w:val="nil"/>
              <w:left w:val="single" w:sz="4" w:space="0" w:color="auto"/>
              <w:bottom w:val="nil"/>
              <w:right w:val="single" w:sz="4" w:space="0" w:color="auto"/>
            </w:tcBorders>
          </w:tcPr>
          <w:p w:rsidR="00877CDF" w:rsidRDefault="00877CDF" w:rsidP="009F32DC"/>
        </w:tc>
        <w:tc>
          <w:tcPr>
            <w:tcW w:w="1080" w:type="dxa"/>
            <w:tcBorders>
              <w:left w:val="single" w:sz="4" w:space="0" w:color="auto"/>
            </w:tcBorders>
            <w:shd w:val="clear" w:color="auto" w:fill="D0CECE" w:themeFill="background2" w:themeFillShade="E6"/>
          </w:tcPr>
          <w:p w:rsidR="00877CDF" w:rsidRDefault="00877CDF" w:rsidP="009F32DC"/>
        </w:tc>
        <w:tc>
          <w:tcPr>
            <w:tcW w:w="1085" w:type="dxa"/>
            <w:shd w:val="clear" w:color="auto" w:fill="D0CECE" w:themeFill="background2" w:themeFillShade="E6"/>
          </w:tcPr>
          <w:p w:rsidR="00877CDF" w:rsidRDefault="00877CDF" w:rsidP="009F32DC">
            <w:r>
              <w:t>Amount</w:t>
            </w:r>
          </w:p>
        </w:tc>
        <w:tc>
          <w:tcPr>
            <w:tcW w:w="2061" w:type="dxa"/>
            <w:shd w:val="clear" w:color="auto" w:fill="D0CECE" w:themeFill="background2" w:themeFillShade="E6"/>
          </w:tcPr>
          <w:p w:rsidR="00877CDF" w:rsidRDefault="00877CDF" w:rsidP="009F32DC">
            <w:r>
              <w:t>Comments</w:t>
            </w:r>
          </w:p>
        </w:tc>
      </w:tr>
      <w:tr w:rsidR="009C2675" w:rsidTr="009C2675">
        <w:tc>
          <w:tcPr>
            <w:tcW w:w="1551" w:type="dxa"/>
          </w:tcPr>
          <w:p w:rsidR="00877CDF" w:rsidRDefault="00877CDF" w:rsidP="009F32DC">
            <w:r>
              <w:t>Airfare</w:t>
            </w:r>
          </w:p>
        </w:tc>
        <w:tc>
          <w:tcPr>
            <w:tcW w:w="1009" w:type="dxa"/>
          </w:tcPr>
          <w:p w:rsidR="00877CDF" w:rsidRDefault="00877CDF" w:rsidP="009F32DC">
            <w:r>
              <w:t>835.00</w:t>
            </w:r>
          </w:p>
        </w:tc>
        <w:tc>
          <w:tcPr>
            <w:tcW w:w="2390" w:type="dxa"/>
            <w:tcBorders>
              <w:right w:val="single" w:sz="4" w:space="0" w:color="auto"/>
            </w:tcBorders>
          </w:tcPr>
          <w:p w:rsidR="00877CDF" w:rsidRDefault="00877CDF" w:rsidP="009F32DC"/>
        </w:tc>
        <w:tc>
          <w:tcPr>
            <w:tcW w:w="274" w:type="dxa"/>
            <w:tcBorders>
              <w:top w:val="nil"/>
              <w:left w:val="single" w:sz="4" w:space="0" w:color="auto"/>
              <w:bottom w:val="nil"/>
              <w:right w:val="single" w:sz="4" w:space="0" w:color="auto"/>
            </w:tcBorders>
          </w:tcPr>
          <w:p w:rsidR="00877CDF" w:rsidRDefault="00877CDF" w:rsidP="009F32DC"/>
        </w:tc>
        <w:tc>
          <w:tcPr>
            <w:tcW w:w="1080" w:type="dxa"/>
            <w:tcBorders>
              <w:left w:val="single" w:sz="4" w:space="0" w:color="auto"/>
            </w:tcBorders>
          </w:tcPr>
          <w:p w:rsidR="00877CDF" w:rsidRDefault="00877CDF" w:rsidP="009F32DC">
            <w:r>
              <w:t>Mileage</w:t>
            </w:r>
          </w:p>
        </w:tc>
        <w:tc>
          <w:tcPr>
            <w:tcW w:w="1085" w:type="dxa"/>
          </w:tcPr>
          <w:p w:rsidR="00877CDF" w:rsidRDefault="00A97D7B" w:rsidP="009F32DC">
            <w:r>
              <w:t>343.75</w:t>
            </w:r>
          </w:p>
        </w:tc>
        <w:tc>
          <w:tcPr>
            <w:tcW w:w="2061" w:type="dxa"/>
          </w:tcPr>
          <w:p w:rsidR="00877CDF" w:rsidRDefault="00877CDF" w:rsidP="009F32DC">
            <w:r>
              <w:t>550mi RT @ .</w:t>
            </w:r>
            <w:r w:rsidR="00A97D7B">
              <w:t>625</w:t>
            </w:r>
            <w:r>
              <w:t xml:space="preserve"> per mile</w:t>
            </w:r>
          </w:p>
        </w:tc>
      </w:tr>
      <w:tr w:rsidR="009C2675" w:rsidTr="009C2675">
        <w:tc>
          <w:tcPr>
            <w:tcW w:w="1551" w:type="dxa"/>
          </w:tcPr>
          <w:p w:rsidR="00877CDF" w:rsidRDefault="00877CDF" w:rsidP="009F32DC">
            <w:r>
              <w:t>Mileage</w:t>
            </w:r>
          </w:p>
        </w:tc>
        <w:tc>
          <w:tcPr>
            <w:tcW w:w="1009" w:type="dxa"/>
          </w:tcPr>
          <w:p w:rsidR="00877CDF" w:rsidRDefault="00A97D7B" w:rsidP="009F32DC">
            <w:r>
              <w:t>86.25</w:t>
            </w:r>
          </w:p>
        </w:tc>
        <w:tc>
          <w:tcPr>
            <w:tcW w:w="2390" w:type="dxa"/>
            <w:tcBorders>
              <w:right w:val="single" w:sz="4" w:space="0" w:color="auto"/>
            </w:tcBorders>
          </w:tcPr>
          <w:p w:rsidR="00877CDF" w:rsidRDefault="00877CDF" w:rsidP="009F32DC">
            <w:r>
              <w:t>138mi RT @ .</w:t>
            </w:r>
            <w:r w:rsidR="00A97D7B">
              <w:t>625</w:t>
            </w:r>
            <w:r>
              <w:t>per mile</w:t>
            </w:r>
          </w:p>
        </w:tc>
        <w:tc>
          <w:tcPr>
            <w:tcW w:w="274" w:type="dxa"/>
            <w:tcBorders>
              <w:top w:val="nil"/>
              <w:left w:val="single" w:sz="4" w:space="0" w:color="auto"/>
              <w:bottom w:val="nil"/>
              <w:right w:val="single" w:sz="4" w:space="0" w:color="auto"/>
            </w:tcBorders>
          </w:tcPr>
          <w:p w:rsidR="00877CDF" w:rsidRDefault="00877CDF" w:rsidP="009F32DC"/>
        </w:tc>
        <w:tc>
          <w:tcPr>
            <w:tcW w:w="1080" w:type="dxa"/>
            <w:tcBorders>
              <w:left w:val="single" w:sz="4" w:space="0" w:color="auto"/>
            </w:tcBorders>
          </w:tcPr>
          <w:p w:rsidR="00877CDF" w:rsidRDefault="00877CDF" w:rsidP="009F32DC"/>
        </w:tc>
        <w:tc>
          <w:tcPr>
            <w:tcW w:w="1085" w:type="dxa"/>
          </w:tcPr>
          <w:p w:rsidR="00877CDF" w:rsidRDefault="00877CDF" w:rsidP="009F32DC"/>
        </w:tc>
        <w:tc>
          <w:tcPr>
            <w:tcW w:w="2061" w:type="dxa"/>
          </w:tcPr>
          <w:p w:rsidR="00877CDF" w:rsidRDefault="00877CDF" w:rsidP="009F32DC"/>
        </w:tc>
      </w:tr>
      <w:tr w:rsidR="009C2675" w:rsidTr="009C2675">
        <w:tc>
          <w:tcPr>
            <w:tcW w:w="1551" w:type="dxa"/>
          </w:tcPr>
          <w:p w:rsidR="00877CDF" w:rsidRDefault="00877CDF" w:rsidP="009F32DC">
            <w:r>
              <w:t>Local Transportation</w:t>
            </w:r>
          </w:p>
        </w:tc>
        <w:tc>
          <w:tcPr>
            <w:tcW w:w="1009" w:type="dxa"/>
          </w:tcPr>
          <w:p w:rsidR="00877CDF" w:rsidRDefault="00877CDF" w:rsidP="009F32DC">
            <w:r>
              <w:t>45.00</w:t>
            </w:r>
          </w:p>
        </w:tc>
        <w:tc>
          <w:tcPr>
            <w:tcW w:w="2390" w:type="dxa"/>
            <w:tcBorders>
              <w:right w:val="single" w:sz="4" w:space="0" w:color="auto"/>
            </w:tcBorders>
          </w:tcPr>
          <w:p w:rsidR="00877CDF" w:rsidRDefault="00877CDF" w:rsidP="009F32DC">
            <w:r>
              <w:t>Airport shuttle to hotel.</w:t>
            </w:r>
          </w:p>
        </w:tc>
        <w:tc>
          <w:tcPr>
            <w:tcW w:w="274" w:type="dxa"/>
            <w:tcBorders>
              <w:top w:val="nil"/>
              <w:left w:val="single" w:sz="4" w:space="0" w:color="auto"/>
              <w:bottom w:val="nil"/>
              <w:right w:val="single" w:sz="4" w:space="0" w:color="auto"/>
            </w:tcBorders>
          </w:tcPr>
          <w:p w:rsidR="00877CDF" w:rsidRDefault="00877CDF" w:rsidP="009F32DC"/>
        </w:tc>
        <w:tc>
          <w:tcPr>
            <w:tcW w:w="1080" w:type="dxa"/>
            <w:tcBorders>
              <w:left w:val="single" w:sz="4" w:space="0" w:color="auto"/>
            </w:tcBorders>
          </w:tcPr>
          <w:p w:rsidR="00877CDF" w:rsidRDefault="00877CDF" w:rsidP="009F32DC"/>
        </w:tc>
        <w:tc>
          <w:tcPr>
            <w:tcW w:w="1085" w:type="dxa"/>
          </w:tcPr>
          <w:p w:rsidR="00877CDF" w:rsidRDefault="00877CDF" w:rsidP="009F32DC"/>
        </w:tc>
        <w:tc>
          <w:tcPr>
            <w:tcW w:w="2061" w:type="dxa"/>
          </w:tcPr>
          <w:p w:rsidR="00877CDF" w:rsidRDefault="00877CDF" w:rsidP="009F32DC"/>
        </w:tc>
      </w:tr>
      <w:tr w:rsidR="009C2675" w:rsidTr="009C2675">
        <w:tc>
          <w:tcPr>
            <w:tcW w:w="1551" w:type="dxa"/>
          </w:tcPr>
          <w:p w:rsidR="00877CDF" w:rsidRDefault="00877CDF" w:rsidP="009F32DC"/>
        </w:tc>
        <w:tc>
          <w:tcPr>
            <w:tcW w:w="1009" w:type="dxa"/>
          </w:tcPr>
          <w:p w:rsidR="00877CDF" w:rsidRDefault="00877CDF" w:rsidP="009F32DC"/>
        </w:tc>
        <w:tc>
          <w:tcPr>
            <w:tcW w:w="2390" w:type="dxa"/>
            <w:tcBorders>
              <w:right w:val="single" w:sz="4" w:space="0" w:color="auto"/>
            </w:tcBorders>
          </w:tcPr>
          <w:p w:rsidR="00877CDF" w:rsidRDefault="00877CDF" w:rsidP="009F32DC"/>
        </w:tc>
        <w:tc>
          <w:tcPr>
            <w:tcW w:w="274" w:type="dxa"/>
            <w:tcBorders>
              <w:top w:val="nil"/>
              <w:left w:val="single" w:sz="4" w:space="0" w:color="auto"/>
              <w:bottom w:val="nil"/>
              <w:right w:val="single" w:sz="4" w:space="0" w:color="auto"/>
            </w:tcBorders>
          </w:tcPr>
          <w:p w:rsidR="00877CDF" w:rsidRDefault="00877CDF" w:rsidP="009F32DC"/>
        </w:tc>
        <w:tc>
          <w:tcPr>
            <w:tcW w:w="1080" w:type="dxa"/>
            <w:tcBorders>
              <w:left w:val="single" w:sz="4" w:space="0" w:color="auto"/>
            </w:tcBorders>
          </w:tcPr>
          <w:p w:rsidR="00877CDF" w:rsidRDefault="00877CDF" w:rsidP="009F32DC"/>
        </w:tc>
        <w:tc>
          <w:tcPr>
            <w:tcW w:w="1085" w:type="dxa"/>
          </w:tcPr>
          <w:p w:rsidR="00877CDF" w:rsidRDefault="00877CDF" w:rsidP="009F32DC"/>
        </w:tc>
        <w:tc>
          <w:tcPr>
            <w:tcW w:w="2061" w:type="dxa"/>
          </w:tcPr>
          <w:p w:rsidR="00877CDF" w:rsidRDefault="00877CDF" w:rsidP="009F32DC"/>
        </w:tc>
      </w:tr>
      <w:tr w:rsidR="009C2675" w:rsidTr="009C2675">
        <w:tc>
          <w:tcPr>
            <w:tcW w:w="1551" w:type="dxa"/>
            <w:shd w:val="clear" w:color="auto" w:fill="D0CECE" w:themeFill="background2" w:themeFillShade="E6"/>
          </w:tcPr>
          <w:p w:rsidR="00877CDF" w:rsidRDefault="00877CDF" w:rsidP="009F32DC">
            <w:r>
              <w:t>Totals</w:t>
            </w:r>
          </w:p>
        </w:tc>
        <w:tc>
          <w:tcPr>
            <w:tcW w:w="1009" w:type="dxa"/>
            <w:shd w:val="clear" w:color="auto" w:fill="D0CECE" w:themeFill="background2" w:themeFillShade="E6"/>
          </w:tcPr>
          <w:p w:rsidR="00877CDF" w:rsidRDefault="00A97D7B" w:rsidP="009F32DC">
            <w:r>
              <w:t>966.25</w:t>
            </w:r>
          </w:p>
        </w:tc>
        <w:tc>
          <w:tcPr>
            <w:tcW w:w="2390" w:type="dxa"/>
            <w:tcBorders>
              <w:right w:val="single" w:sz="4" w:space="0" w:color="auto"/>
            </w:tcBorders>
            <w:shd w:val="clear" w:color="auto" w:fill="D0CECE" w:themeFill="background2" w:themeFillShade="E6"/>
          </w:tcPr>
          <w:p w:rsidR="00877CDF" w:rsidRDefault="00877CDF" w:rsidP="009F32DC"/>
        </w:tc>
        <w:tc>
          <w:tcPr>
            <w:tcW w:w="274" w:type="dxa"/>
            <w:tcBorders>
              <w:top w:val="nil"/>
              <w:left w:val="single" w:sz="4" w:space="0" w:color="auto"/>
              <w:bottom w:val="nil"/>
              <w:right w:val="single" w:sz="4" w:space="0" w:color="auto"/>
            </w:tcBorders>
          </w:tcPr>
          <w:p w:rsidR="00877CDF" w:rsidRDefault="00877CDF" w:rsidP="009F32DC"/>
        </w:tc>
        <w:tc>
          <w:tcPr>
            <w:tcW w:w="1080" w:type="dxa"/>
            <w:tcBorders>
              <w:left w:val="single" w:sz="4" w:space="0" w:color="auto"/>
            </w:tcBorders>
            <w:shd w:val="clear" w:color="auto" w:fill="D0CECE" w:themeFill="background2" w:themeFillShade="E6"/>
          </w:tcPr>
          <w:p w:rsidR="00877CDF" w:rsidRDefault="00877CDF" w:rsidP="009F32DC"/>
        </w:tc>
        <w:tc>
          <w:tcPr>
            <w:tcW w:w="1085" w:type="dxa"/>
            <w:shd w:val="clear" w:color="auto" w:fill="D0CECE" w:themeFill="background2" w:themeFillShade="E6"/>
          </w:tcPr>
          <w:p w:rsidR="00877CDF" w:rsidRDefault="00A97D7B" w:rsidP="009F32DC">
            <w:r>
              <w:t>343.75</w:t>
            </w:r>
          </w:p>
        </w:tc>
        <w:tc>
          <w:tcPr>
            <w:tcW w:w="2061" w:type="dxa"/>
            <w:shd w:val="clear" w:color="auto" w:fill="D0CECE" w:themeFill="background2" w:themeFillShade="E6"/>
          </w:tcPr>
          <w:p w:rsidR="00877CDF" w:rsidRDefault="00877CDF" w:rsidP="009F32DC"/>
        </w:tc>
      </w:tr>
    </w:tbl>
    <w:p w:rsidR="00877CDF" w:rsidRDefault="00877CDF" w:rsidP="009F32DC">
      <w:pPr>
        <w:ind w:left="1440"/>
      </w:pPr>
    </w:p>
    <w:p w:rsidR="002E031E" w:rsidRDefault="002E031E" w:rsidP="009F32DC">
      <w:pPr>
        <w:ind w:left="1440"/>
      </w:pPr>
      <w:r>
        <w:t xml:space="preserve">In the above example, </w:t>
      </w:r>
      <w:r w:rsidR="00624CCE">
        <w:t>this out-of-state trip wou</w:t>
      </w:r>
      <w:r>
        <w:t xml:space="preserve">ld be less expensive to drive </w:t>
      </w:r>
      <w:r w:rsidR="00624CCE">
        <w:t>rather than fly</w:t>
      </w:r>
      <w:r>
        <w:t>.</w:t>
      </w:r>
    </w:p>
    <w:p w:rsidR="00035BD1" w:rsidRDefault="00035BD1" w:rsidP="00035BD1"/>
    <w:p w:rsidR="0093799C" w:rsidRPr="00801064" w:rsidRDefault="00035BD1">
      <w:pPr>
        <w:rPr>
          <w:b/>
        </w:rPr>
      </w:pPr>
      <w:r w:rsidRPr="00801064">
        <w:rPr>
          <w:b/>
        </w:rPr>
        <w:t>Pre Approvals</w:t>
      </w:r>
    </w:p>
    <w:p w:rsidR="00035BD1" w:rsidRDefault="00035BD1" w:rsidP="00035BD1">
      <w:pPr>
        <w:ind w:left="720"/>
      </w:pPr>
      <w:r>
        <w:t>Do I have to submit a pre</w:t>
      </w:r>
      <w:r w:rsidR="00624CCE">
        <w:t>-</w:t>
      </w:r>
      <w:r>
        <w:t>approval form?</w:t>
      </w:r>
    </w:p>
    <w:p w:rsidR="001E60E5" w:rsidRDefault="001E60E5" w:rsidP="001E60E5">
      <w:pPr>
        <w:ind w:left="1440"/>
      </w:pPr>
      <w:r>
        <w:t>A pre</w:t>
      </w:r>
      <w:r w:rsidR="00624CCE">
        <w:t>-</w:t>
      </w:r>
      <w:r>
        <w:t xml:space="preserve">approval form is required for </w:t>
      </w:r>
      <w:r w:rsidRPr="00624CCE">
        <w:rPr>
          <w:b/>
        </w:rPr>
        <w:t>all</w:t>
      </w:r>
      <w:r>
        <w:t xml:space="preserve"> overnight travel, both in- and out-of-state.</w:t>
      </w:r>
    </w:p>
    <w:p w:rsidR="00035BD1" w:rsidRDefault="00035BD1" w:rsidP="00035BD1">
      <w:pPr>
        <w:ind w:left="720"/>
      </w:pPr>
      <w:r>
        <w:t>Where can I find the current pre</w:t>
      </w:r>
      <w:r w:rsidR="00624CCE">
        <w:t>-</w:t>
      </w:r>
      <w:r>
        <w:t>approval form?</w:t>
      </w:r>
    </w:p>
    <w:p w:rsidR="00624CCE" w:rsidRDefault="003F5480" w:rsidP="00035BD1">
      <w:pPr>
        <w:ind w:left="720"/>
      </w:pPr>
      <w:hyperlink r:id="rId7" w:history="1">
        <w:r w:rsidRPr="00EF71EE">
          <w:rPr>
            <w:rStyle w:val="Hyperlink"/>
          </w:rPr>
          <w:t>https://policies.nsuok.edu/Portals/0/Forms/Travel%20Preapproval%20Request%20Fillable.pdf</w:t>
        </w:r>
      </w:hyperlink>
    </w:p>
    <w:p w:rsidR="003F5480" w:rsidRDefault="003F5480" w:rsidP="00035BD1">
      <w:pPr>
        <w:ind w:left="720"/>
      </w:pPr>
    </w:p>
    <w:p w:rsidR="00624CCE" w:rsidRDefault="00624CCE" w:rsidP="00035BD1">
      <w:pPr>
        <w:ind w:left="720"/>
      </w:pPr>
    </w:p>
    <w:p w:rsidR="00035BD1" w:rsidRDefault="00035BD1" w:rsidP="00035BD1">
      <w:pPr>
        <w:ind w:left="720"/>
      </w:pPr>
      <w:r>
        <w:lastRenderedPageBreak/>
        <w:t xml:space="preserve">Is my State Employee ID </w:t>
      </w:r>
      <w:r w:rsidR="00624CCE">
        <w:t>the same as my</w:t>
      </w:r>
      <w:r>
        <w:t xml:space="preserve"> NSU Banner ID?</w:t>
      </w:r>
    </w:p>
    <w:p w:rsidR="001E60E5" w:rsidRDefault="001E60E5" w:rsidP="001E60E5">
      <w:pPr>
        <w:ind w:left="1440"/>
      </w:pPr>
      <w:r>
        <w:t>Your State Employee ID is also known as your OSF number. It is ten digits long and</w:t>
      </w:r>
      <w:r w:rsidR="00624CCE">
        <w:t xml:space="preserve"> typically</w:t>
      </w:r>
      <w:r>
        <w:t xml:space="preserve"> starts with four zeros. </w:t>
      </w:r>
      <w:r w:rsidR="00624CCE">
        <w:t>I</w:t>
      </w:r>
      <w:r>
        <w:t>f you do not know your State Employee ID number</w:t>
      </w:r>
      <w:r w:rsidR="00624CCE">
        <w:t xml:space="preserve"> or are unsure of where to find this, please contact </w:t>
      </w:r>
      <w:r w:rsidR="0054463B">
        <w:t>Accounts Payable at 21</w:t>
      </w:r>
      <w:r w:rsidR="003F5480">
        <w:t>69</w:t>
      </w:r>
      <w:r>
        <w:t>.</w:t>
      </w:r>
    </w:p>
    <w:p w:rsidR="00035BD1" w:rsidRDefault="00035BD1" w:rsidP="00035BD1">
      <w:pPr>
        <w:ind w:left="720"/>
      </w:pPr>
      <w:r>
        <w:t xml:space="preserve">Where do I find the per diem </w:t>
      </w:r>
      <w:r w:rsidR="003B5E0F">
        <w:t xml:space="preserve">and authorized lodging </w:t>
      </w:r>
      <w:r>
        <w:t>rates for my destination?</w:t>
      </w:r>
    </w:p>
    <w:p w:rsidR="003F5480" w:rsidRDefault="001E60E5" w:rsidP="003F5480">
      <w:pPr>
        <w:ind w:left="1440"/>
      </w:pPr>
      <w:r>
        <w:t xml:space="preserve">Rates for travel inside the United States can be found here: </w:t>
      </w:r>
      <w:hyperlink r:id="rId8" w:history="1">
        <w:r w:rsidR="003F5480" w:rsidRPr="00EF71EE">
          <w:rPr>
            <w:rStyle w:val="Hyperlink"/>
          </w:rPr>
          <w:t>https://www.gsa.gov/travel/plan-book/per-diem-rates?gsaredirect=portalcategory</w:t>
        </w:r>
      </w:hyperlink>
    </w:p>
    <w:p w:rsidR="0054463B" w:rsidRDefault="001E60E5" w:rsidP="0054463B">
      <w:pPr>
        <w:ind w:left="1440"/>
      </w:pPr>
      <w:r>
        <w:t>Rates for travel outside the United States can be found here:</w:t>
      </w:r>
      <w:r w:rsidR="003B5E0F">
        <w:t xml:space="preserve"> </w:t>
      </w:r>
      <w:hyperlink r:id="rId9" w:history="1">
        <w:r w:rsidR="003F5480" w:rsidRPr="00EF71EE">
          <w:rPr>
            <w:rStyle w:val="Hyperlink"/>
          </w:rPr>
          <w:t>https://aoprals.state.gov/web920/per_diem.asp</w:t>
        </w:r>
      </w:hyperlink>
    </w:p>
    <w:p w:rsidR="00035BD1" w:rsidRDefault="00035BD1" w:rsidP="00035BD1">
      <w:pPr>
        <w:ind w:left="720"/>
      </w:pPr>
      <w:r>
        <w:t xml:space="preserve">What </w:t>
      </w:r>
      <w:r w:rsidR="0054463B">
        <w:t>is in other expenses with receipts</w:t>
      </w:r>
      <w:r>
        <w:t>?</w:t>
      </w:r>
    </w:p>
    <w:p w:rsidR="0054463B" w:rsidRDefault="0054463B" w:rsidP="0054463B">
      <w:pPr>
        <w:spacing w:line="240" w:lineRule="auto"/>
        <w:ind w:left="1440"/>
      </w:pPr>
      <w:r>
        <w:t>H</w:t>
      </w:r>
      <w:r w:rsidR="003B5E0F">
        <w:t>otel internet access</w:t>
      </w:r>
      <w:r>
        <w:t>, baggage, copier charges, etc</w:t>
      </w:r>
      <w:r w:rsidR="003B5E0F">
        <w:t>.</w:t>
      </w:r>
    </w:p>
    <w:p w:rsidR="00035BD1" w:rsidRDefault="00035BD1" w:rsidP="0054463B">
      <w:pPr>
        <w:spacing w:line="240" w:lineRule="auto"/>
        <w:ind w:left="720"/>
      </w:pPr>
      <w:r>
        <w:t>What do I do if my actual expenses exceed the approved amount?</w:t>
      </w:r>
    </w:p>
    <w:p w:rsidR="003B5E0F" w:rsidRDefault="003B5E0F" w:rsidP="003B5E0F">
      <w:pPr>
        <w:ind w:left="1440"/>
      </w:pPr>
      <w:r>
        <w:t>You will need to cross out the approved amount, write in the actual amount, and have your account sponsor initial the changes.</w:t>
      </w:r>
    </w:p>
    <w:p w:rsidR="00035BD1" w:rsidRDefault="00035BD1" w:rsidP="00035BD1">
      <w:pPr>
        <w:ind w:left="720"/>
      </w:pPr>
    </w:p>
    <w:p w:rsidR="00035BD1" w:rsidRPr="00801064" w:rsidRDefault="00035BD1">
      <w:pPr>
        <w:rPr>
          <w:b/>
        </w:rPr>
      </w:pPr>
      <w:r w:rsidRPr="00801064">
        <w:rPr>
          <w:b/>
        </w:rPr>
        <w:t xml:space="preserve">Travel </w:t>
      </w:r>
      <w:r w:rsidR="0054463B">
        <w:rPr>
          <w:b/>
        </w:rPr>
        <w:t>Reimbursement Voucher</w:t>
      </w:r>
    </w:p>
    <w:p w:rsidR="00035BD1" w:rsidRDefault="00035BD1" w:rsidP="00035BD1">
      <w:pPr>
        <w:ind w:left="720"/>
      </w:pPr>
      <w:r>
        <w:t>Where can I find the current travel action form?</w:t>
      </w:r>
    </w:p>
    <w:p w:rsidR="002E031E" w:rsidRDefault="001E5890" w:rsidP="001E5890">
      <w:pPr>
        <w:spacing w:after="0" w:line="240" w:lineRule="auto"/>
        <w:ind w:left="1440"/>
      </w:pPr>
      <w:r>
        <w:t xml:space="preserve">The current and previous year’s Travel Action Form may be found </w:t>
      </w:r>
      <w:r w:rsidR="00A97D7B">
        <w:t xml:space="preserve">in the M drive. </w:t>
      </w:r>
    </w:p>
    <w:p w:rsidR="00A97D7B" w:rsidRDefault="00A97D7B" w:rsidP="001E5890">
      <w:pPr>
        <w:spacing w:after="0" w:line="240" w:lineRule="auto"/>
        <w:ind w:left="1440"/>
      </w:pPr>
      <w:r w:rsidRPr="00A97D7B">
        <w:t>M:\Forms\Travel\Travel FY23</w:t>
      </w:r>
    </w:p>
    <w:p w:rsidR="001E5890" w:rsidRDefault="001E5890" w:rsidP="001E5890">
      <w:pPr>
        <w:spacing w:after="0" w:line="240" w:lineRule="auto"/>
        <w:ind w:left="1440"/>
      </w:pPr>
    </w:p>
    <w:p w:rsidR="001E5890" w:rsidRDefault="00035BD1" w:rsidP="00035BD1">
      <w:pPr>
        <w:ind w:left="720"/>
      </w:pPr>
      <w:r>
        <w:t xml:space="preserve">What supporting documents </w:t>
      </w:r>
      <w:r w:rsidR="001E5890">
        <w:t>are needed</w:t>
      </w:r>
      <w:r>
        <w:t xml:space="preserve"> for mileage?</w:t>
      </w:r>
      <w:r w:rsidR="002E031E" w:rsidRPr="002E031E">
        <w:t xml:space="preserve"> </w:t>
      </w:r>
    </w:p>
    <w:p w:rsidR="001E5890" w:rsidRDefault="001E5890" w:rsidP="001E5890">
      <w:pPr>
        <w:ind w:left="1440"/>
      </w:pPr>
      <w:r>
        <w:t xml:space="preserve">A </w:t>
      </w:r>
      <w:r w:rsidR="0054463B">
        <w:t xml:space="preserve">map </w:t>
      </w:r>
      <w:proofErr w:type="gramStart"/>
      <w:r w:rsidR="0054463B">
        <w:t>print</w:t>
      </w:r>
      <w:proofErr w:type="gramEnd"/>
      <w:r w:rsidR="0054463B">
        <w:t xml:space="preserve"> out from maps.google.com showing</w:t>
      </w:r>
      <w:r>
        <w:t xml:space="preserve"> to </w:t>
      </w:r>
      <w:r w:rsidR="0054463B">
        <w:t xml:space="preserve">and from </w:t>
      </w:r>
      <w:r>
        <w:t>your destinatio</w:t>
      </w:r>
      <w:r w:rsidR="0054463B">
        <w:t>n</w:t>
      </w:r>
      <w:r>
        <w:t>.</w:t>
      </w:r>
    </w:p>
    <w:p w:rsidR="00035BD1" w:rsidRDefault="00035BD1" w:rsidP="00035BD1">
      <w:pPr>
        <w:ind w:left="720"/>
      </w:pPr>
      <w:r>
        <w:t xml:space="preserve">What supporting documents </w:t>
      </w:r>
      <w:r w:rsidR="00801064">
        <w:t>are needed</w:t>
      </w:r>
      <w:r>
        <w:t xml:space="preserve"> for airfare?</w:t>
      </w:r>
    </w:p>
    <w:p w:rsidR="002E031E" w:rsidRDefault="002E031E" w:rsidP="002E031E">
      <w:pPr>
        <w:ind w:left="1440"/>
      </w:pPr>
      <w:r>
        <w:t>The itinerary and receipt will be sufficient if the air</w:t>
      </w:r>
      <w:r w:rsidR="0054463B">
        <w:t xml:space="preserve">fare </w:t>
      </w:r>
      <w:r>
        <w:t xml:space="preserve">was booked through Concur.  </w:t>
      </w:r>
    </w:p>
    <w:p w:rsidR="00035BD1" w:rsidRDefault="00035BD1" w:rsidP="00035BD1">
      <w:pPr>
        <w:ind w:left="720"/>
      </w:pPr>
      <w:r>
        <w:t xml:space="preserve">What supporting documents </w:t>
      </w:r>
      <w:r w:rsidR="001E5890">
        <w:t>are needed</w:t>
      </w:r>
      <w:r>
        <w:t xml:space="preserve"> for per diem</w:t>
      </w:r>
      <w:r w:rsidR="006974D6">
        <w:t xml:space="preserve"> and lodging rates</w:t>
      </w:r>
      <w:r w:rsidR="001E60E5">
        <w:t>?</w:t>
      </w:r>
    </w:p>
    <w:p w:rsidR="002E031E" w:rsidRDefault="002E031E" w:rsidP="002E031E">
      <w:pPr>
        <w:ind w:left="1440"/>
      </w:pPr>
      <w:r>
        <w:t xml:space="preserve">Per diem is </w:t>
      </w:r>
      <w:r w:rsidR="006974D6">
        <w:t>for overnight travel only</w:t>
      </w:r>
      <w:r>
        <w:t>. The current per diem (M&amp;IE) rates are available at the GSA for US travel, and at the US Department of State for overseas travel. Visit the appropriate site below and print off the rate table for your destination.</w:t>
      </w:r>
    </w:p>
    <w:p w:rsidR="002E031E" w:rsidRDefault="002E031E" w:rsidP="002E031E">
      <w:pPr>
        <w:ind w:left="1440"/>
      </w:pPr>
      <w:r>
        <w:t xml:space="preserve">US Travel- </w:t>
      </w:r>
      <w:hyperlink r:id="rId10" w:history="1">
        <w:r w:rsidR="003F5480" w:rsidRPr="00EF71EE">
          <w:rPr>
            <w:rStyle w:val="Hyperlink"/>
          </w:rPr>
          <w:t>https://www.gsa.gov/travel/plan-book/per-diem-rates?gsaredirect=portalcategory</w:t>
        </w:r>
      </w:hyperlink>
    </w:p>
    <w:p w:rsidR="002E031E" w:rsidRDefault="002E031E" w:rsidP="002E031E">
      <w:pPr>
        <w:ind w:left="1440"/>
      </w:pPr>
      <w:r>
        <w:t xml:space="preserve">Foreign Travel- </w:t>
      </w:r>
      <w:hyperlink r:id="rId11" w:history="1">
        <w:r w:rsidR="003F5480" w:rsidRPr="00EF71EE">
          <w:rPr>
            <w:rStyle w:val="Hyperlink"/>
          </w:rPr>
          <w:t>https://aoprals.state.gov/web920/per_diem.asp</w:t>
        </w:r>
      </w:hyperlink>
    </w:p>
    <w:p w:rsidR="003F5480" w:rsidRDefault="003F5480" w:rsidP="002E031E">
      <w:pPr>
        <w:ind w:left="1440"/>
      </w:pPr>
    </w:p>
    <w:p w:rsidR="002E031E" w:rsidRDefault="002E031E" w:rsidP="00B64D8E"/>
    <w:p w:rsidR="00A97D7B" w:rsidRDefault="00A97D7B" w:rsidP="006974D6">
      <w:pPr>
        <w:ind w:left="720"/>
      </w:pPr>
      <w:bookmarkStart w:id="0" w:name="_GoBack"/>
      <w:bookmarkEnd w:id="0"/>
    </w:p>
    <w:p w:rsidR="00A97D7B" w:rsidRDefault="00A97D7B" w:rsidP="006974D6">
      <w:pPr>
        <w:ind w:left="720"/>
      </w:pPr>
    </w:p>
    <w:p w:rsidR="006974D6" w:rsidRDefault="00A97D7B" w:rsidP="006974D6">
      <w:pPr>
        <w:ind w:left="720"/>
      </w:pPr>
      <w:r>
        <w:t xml:space="preserve">  </w:t>
      </w:r>
      <w:r w:rsidR="001E60E5">
        <w:t xml:space="preserve">What </w:t>
      </w:r>
      <w:r w:rsidR="00801064">
        <w:t>supporting documents do</w:t>
      </w:r>
      <w:r w:rsidR="006974D6">
        <w:t xml:space="preserve"> I need for lodging?</w:t>
      </w:r>
    </w:p>
    <w:p w:rsidR="002E031E" w:rsidRDefault="00B64D8E" w:rsidP="006974D6">
      <w:pPr>
        <w:ind w:left="1440"/>
      </w:pPr>
      <w:r>
        <w:t>A $0 balance receipt will need to be included as well as any documentation from the conference</w:t>
      </w:r>
      <w:r w:rsidR="006974D6">
        <w:t xml:space="preserve"> you attended</w:t>
      </w:r>
      <w:r>
        <w:t>,</w:t>
      </w:r>
      <w:r w:rsidR="006974D6">
        <w:t xml:space="preserve"> </w:t>
      </w:r>
      <w:r>
        <w:t>th</w:t>
      </w:r>
      <w:r w:rsidR="006974D6">
        <w:t xml:space="preserve">at shows the </w:t>
      </w:r>
      <w:r>
        <w:t>conference</w:t>
      </w:r>
      <w:r w:rsidR="006974D6">
        <w:t xml:space="preserve"> room rate.</w:t>
      </w:r>
    </w:p>
    <w:p w:rsidR="001E60E5" w:rsidRDefault="001E60E5" w:rsidP="00035BD1">
      <w:pPr>
        <w:ind w:left="720"/>
      </w:pPr>
      <w:r>
        <w:t>What about lodging taxes?</w:t>
      </w:r>
    </w:p>
    <w:p w:rsidR="006974D6" w:rsidRDefault="006974D6" w:rsidP="006974D6">
      <w:pPr>
        <w:ind w:left="1440"/>
      </w:pPr>
      <w:r>
        <w:t>Lodging in Oklahoma should be tax exempt</w:t>
      </w:r>
      <w:r w:rsidR="00B64D8E">
        <w:t xml:space="preserve"> from all taxes but tribal tax.</w:t>
      </w:r>
      <w:r>
        <w:t xml:space="preserve"> NSU’s tax ID</w:t>
      </w:r>
      <w:r w:rsidR="00B64D8E">
        <w:t xml:space="preserve"> number</w:t>
      </w:r>
      <w:r>
        <w:t xml:space="preserve"> is on the front of your purchasing card if you have one. A letter is available from Purchasing if you do not have a purchasing card.</w:t>
      </w:r>
    </w:p>
    <w:p w:rsidR="006974D6" w:rsidRDefault="006974D6" w:rsidP="006974D6">
      <w:pPr>
        <w:ind w:left="1440"/>
      </w:pPr>
      <w:r>
        <w:t xml:space="preserve">Travelers are not exempt from lodging taxes outside of </w:t>
      </w:r>
      <w:r w:rsidR="00B64D8E">
        <w:t xml:space="preserve">the state of </w:t>
      </w:r>
      <w:r>
        <w:t>Oklahoma</w:t>
      </w:r>
      <w:r w:rsidR="00B64D8E">
        <w:t xml:space="preserve">, however, some states will honor our tax exemption, if mentioned at the time of booking. </w:t>
      </w:r>
    </w:p>
    <w:p w:rsidR="00035BD1" w:rsidRPr="00801064" w:rsidRDefault="00035BD1">
      <w:pPr>
        <w:rPr>
          <w:b/>
        </w:rPr>
      </w:pPr>
      <w:r w:rsidRPr="00801064">
        <w:rPr>
          <w:b/>
        </w:rPr>
        <w:t>Booking</w:t>
      </w:r>
    </w:p>
    <w:p w:rsidR="001E60E5" w:rsidRDefault="001E60E5" w:rsidP="001E60E5">
      <w:pPr>
        <w:ind w:left="720"/>
      </w:pPr>
      <w:r>
        <w:t>What is Concu</w:t>
      </w:r>
      <w:r w:rsidR="00B64D8E">
        <w:t>r</w:t>
      </w:r>
      <w:r>
        <w:t>?</w:t>
      </w:r>
    </w:p>
    <w:p w:rsidR="00772AD6" w:rsidRDefault="00772AD6" w:rsidP="00772AD6">
      <w:pPr>
        <w:ind w:left="1440"/>
      </w:pPr>
      <w:r>
        <w:t>Concur is a booking tool</w:t>
      </w:r>
      <w:r w:rsidR="00B64D8E">
        <w:t xml:space="preserve"> </w:t>
      </w:r>
      <w:r>
        <w:t>created for the State of Oklahoma</w:t>
      </w:r>
      <w:r w:rsidR="00B64D8E">
        <w:t>,</w:t>
      </w:r>
      <w:r>
        <w:t xml:space="preserve"> for the purpose of booking official state travel.</w:t>
      </w:r>
    </w:p>
    <w:p w:rsidR="001E60E5" w:rsidRDefault="001E60E5" w:rsidP="001E60E5">
      <w:pPr>
        <w:ind w:left="720"/>
      </w:pPr>
      <w:r>
        <w:t>Do I have to use Concu</w:t>
      </w:r>
      <w:r w:rsidR="00B64D8E">
        <w:t>r</w:t>
      </w:r>
      <w:r>
        <w:t>?</w:t>
      </w:r>
    </w:p>
    <w:p w:rsidR="00772AD6" w:rsidRDefault="0094127F" w:rsidP="0094127F">
      <w:pPr>
        <w:ind w:left="1440"/>
      </w:pPr>
      <w:r>
        <w:t>Concur must be used for air</w:t>
      </w:r>
      <w:r w:rsidR="00B64D8E">
        <w:t>fare</w:t>
      </w:r>
      <w:r>
        <w:t xml:space="preserve"> if it is the least expensive option.</w:t>
      </w:r>
    </w:p>
    <w:p w:rsidR="0094127F" w:rsidRDefault="0094127F" w:rsidP="0094127F">
      <w:pPr>
        <w:ind w:left="720"/>
      </w:pPr>
      <w:r>
        <w:t>What if I find cheaper airfare elsewhere?</w:t>
      </w:r>
    </w:p>
    <w:p w:rsidR="0094127F" w:rsidRDefault="009F32DC" w:rsidP="0094127F">
      <w:pPr>
        <w:ind w:left="1440"/>
      </w:pPr>
      <w:r>
        <w:t xml:space="preserve">You must be able to document the savings. To do this, provide a quote from Concur and from the </w:t>
      </w:r>
      <w:r w:rsidR="00B64D8E">
        <w:t>airline being used</w:t>
      </w:r>
      <w:r>
        <w:t xml:space="preserve">. These quotes must be obtained on the same day and for the same </w:t>
      </w:r>
      <w:r w:rsidR="006974D6">
        <w:t xml:space="preserve">flight </w:t>
      </w:r>
      <w:r>
        <w:t>time</w:t>
      </w:r>
      <w:r w:rsidR="006974D6">
        <w:t>s</w:t>
      </w:r>
      <w:r>
        <w:t xml:space="preserve">.  If the </w:t>
      </w:r>
      <w:r w:rsidR="00B64D8E">
        <w:t>airline</w:t>
      </w:r>
      <w:r>
        <w:t xml:space="preserve"> proves to be less expensive, you may </w:t>
      </w:r>
      <w:r w:rsidR="00B64D8E">
        <w:t>book directly through the airline</w:t>
      </w:r>
      <w:r>
        <w:t xml:space="preserve">. Be sure to submit the quotes with your Travel </w:t>
      </w:r>
      <w:r w:rsidR="00B64D8E">
        <w:t>Reimbursement Voucher</w:t>
      </w:r>
      <w:r>
        <w:t xml:space="preserve"> as supporting documentation.</w:t>
      </w:r>
    </w:p>
    <w:p w:rsidR="00772AD6" w:rsidRDefault="00772AD6" w:rsidP="001E60E5">
      <w:pPr>
        <w:ind w:left="720"/>
      </w:pPr>
      <w:r>
        <w:t xml:space="preserve">Can I speak to a </w:t>
      </w:r>
      <w:r w:rsidR="00FC3E71">
        <w:t>Concur</w:t>
      </w:r>
      <w:r>
        <w:t xml:space="preserve"> travel agent?</w:t>
      </w:r>
    </w:p>
    <w:p w:rsidR="009F32DC" w:rsidRDefault="009F32DC" w:rsidP="009F32DC">
      <w:pPr>
        <w:ind w:left="1440"/>
      </w:pPr>
      <w:r>
        <w:t xml:space="preserve">A travel agent is available, but </w:t>
      </w:r>
      <w:r w:rsidR="00B64D8E">
        <w:t>you may be charged a $25 fee</w:t>
      </w:r>
      <w:r>
        <w:t xml:space="preserve">. Please contact </w:t>
      </w:r>
      <w:r w:rsidR="00FC3E71">
        <w:t xml:space="preserve">Accounts Payable </w:t>
      </w:r>
      <w:r>
        <w:t>at x</w:t>
      </w:r>
      <w:r w:rsidR="00B64D8E">
        <w:t>2</w:t>
      </w:r>
      <w:r w:rsidR="00A97D7B">
        <w:t>169</w:t>
      </w:r>
      <w:r>
        <w:t xml:space="preserve"> before calling the travel agent.</w:t>
      </w:r>
      <w:r w:rsidR="00FC3E71">
        <w:t xml:space="preserve"> </w:t>
      </w:r>
    </w:p>
    <w:p w:rsidR="001E60E5" w:rsidRDefault="001E60E5" w:rsidP="001E60E5">
      <w:pPr>
        <w:ind w:left="720"/>
      </w:pPr>
      <w:r>
        <w:t>What about booking</w:t>
      </w:r>
      <w:r w:rsidR="00FC3E71">
        <w:t xml:space="preserve"> a</w:t>
      </w:r>
      <w:r>
        <w:t xml:space="preserve"> room at a conference?</w:t>
      </w:r>
    </w:p>
    <w:p w:rsidR="009F32DC" w:rsidRDefault="009F32DC" w:rsidP="009F32DC">
      <w:pPr>
        <w:ind w:left="1440"/>
      </w:pPr>
      <w:r>
        <w:t>At this time, conference hotel bookings should be completed through the conference organizers</w:t>
      </w:r>
      <w:r w:rsidR="00FC3E71">
        <w:t xml:space="preserve"> or directly through the hotel. </w:t>
      </w:r>
    </w:p>
    <w:p w:rsidR="003F5480" w:rsidRDefault="003F5480" w:rsidP="001E60E5">
      <w:pPr>
        <w:ind w:left="720"/>
      </w:pPr>
    </w:p>
    <w:p w:rsidR="003F5480" w:rsidRDefault="003F5480" w:rsidP="001E60E5">
      <w:pPr>
        <w:ind w:left="720"/>
      </w:pPr>
    </w:p>
    <w:p w:rsidR="003F5480" w:rsidRDefault="003F5480" w:rsidP="001E60E5">
      <w:pPr>
        <w:ind w:left="720"/>
      </w:pPr>
    </w:p>
    <w:p w:rsidR="003F5480" w:rsidRDefault="003F5480" w:rsidP="001E60E5">
      <w:pPr>
        <w:ind w:left="720"/>
      </w:pPr>
    </w:p>
    <w:p w:rsidR="001E60E5" w:rsidRDefault="001E60E5" w:rsidP="001E60E5">
      <w:pPr>
        <w:ind w:left="720"/>
      </w:pPr>
      <w:r>
        <w:lastRenderedPageBreak/>
        <w:t>What if I don’t have a Concur account?</w:t>
      </w:r>
    </w:p>
    <w:p w:rsidR="009F32DC" w:rsidRDefault="009F32DC" w:rsidP="009F32DC">
      <w:pPr>
        <w:ind w:left="1440"/>
      </w:pPr>
      <w:r>
        <w:t>University employees who book their own travel</w:t>
      </w:r>
      <w:r w:rsidR="00FC3E71">
        <w:t xml:space="preserve"> and assistants who book travel for others,</w:t>
      </w:r>
      <w:r>
        <w:t xml:space="preserve"> must attend travel training. University employees whose travel is book</w:t>
      </w:r>
      <w:r w:rsidR="00FC3E71">
        <w:t>ed</w:t>
      </w:r>
      <w:r>
        <w:t xml:space="preserve"> for them by a travel assistant will still need an account</w:t>
      </w:r>
      <w:r w:rsidR="00FC3E71">
        <w:t xml:space="preserve">. This can be </w:t>
      </w:r>
      <w:r>
        <w:t xml:space="preserve">arranged by </w:t>
      </w:r>
      <w:r w:rsidR="00FC3E71">
        <w:t xml:space="preserve">the traveler emailing </w:t>
      </w:r>
      <w:r w:rsidR="00FC3E71" w:rsidRPr="009E2B25">
        <w:t>nsutravel@nsuok.edu</w:t>
      </w:r>
      <w:r w:rsidR="00FC3E71">
        <w:t xml:space="preserve">. </w:t>
      </w:r>
      <w:r>
        <w:t xml:space="preserve"> Contact the </w:t>
      </w:r>
      <w:r w:rsidR="00FC3E71">
        <w:t xml:space="preserve">Accounts Payable </w:t>
      </w:r>
      <w:r>
        <w:t>at x2</w:t>
      </w:r>
      <w:r w:rsidR="00FC3E71">
        <w:t>1</w:t>
      </w:r>
      <w:r w:rsidR="00A97D7B">
        <w:t>69</w:t>
      </w:r>
      <w:r>
        <w:t xml:space="preserve"> for more information.</w:t>
      </w:r>
    </w:p>
    <w:p w:rsidR="001E60E5" w:rsidRDefault="001E60E5" w:rsidP="001E60E5">
      <w:pPr>
        <w:ind w:left="720"/>
      </w:pPr>
      <w:r>
        <w:t>Can I use Concur for personal travel?</w:t>
      </w:r>
    </w:p>
    <w:p w:rsidR="009F32DC" w:rsidRDefault="009F32DC" w:rsidP="009F32DC">
      <w:pPr>
        <w:ind w:left="1440"/>
      </w:pPr>
      <w:r>
        <w:t>State law prohibits the use of Concur for personal travel.</w:t>
      </w:r>
    </w:p>
    <w:p w:rsidR="00772AD6" w:rsidRDefault="00772AD6" w:rsidP="001E60E5">
      <w:pPr>
        <w:ind w:left="720"/>
      </w:pPr>
      <w:r>
        <w:t>What if I need to book travel for a university guest?</w:t>
      </w:r>
    </w:p>
    <w:p w:rsidR="009F32DC" w:rsidRDefault="00FC3E71" w:rsidP="00FC3E71">
      <w:pPr>
        <w:ind w:left="1440"/>
      </w:pPr>
      <w:r>
        <w:t>Guest travel may only be booked by Accounts Payable</w:t>
      </w:r>
      <w:r w:rsidR="00A97D7B">
        <w:t xml:space="preserve"> or directly through Journey House.</w:t>
      </w:r>
      <w:r w:rsidR="009F32DC">
        <w:t xml:space="preserve"> </w:t>
      </w:r>
      <w:r w:rsidR="00A97D7B">
        <w:t>I</w:t>
      </w:r>
      <w:r w:rsidR="009F32DC">
        <w:t>f you need to book travel for a guest</w:t>
      </w:r>
      <w:r>
        <w:t xml:space="preserve"> this includes students, interview prospects, guest speakers, or anyone who is not a university employee</w:t>
      </w:r>
      <w:r w:rsidR="00A97D7B">
        <w:t xml:space="preserve"> please contact Accounts Payable at x2169.</w:t>
      </w:r>
    </w:p>
    <w:p w:rsidR="00772AD6" w:rsidRDefault="00772AD6" w:rsidP="001E60E5">
      <w:pPr>
        <w:ind w:left="720"/>
      </w:pPr>
    </w:p>
    <w:p w:rsidR="00396E05" w:rsidRPr="00396E05" w:rsidRDefault="00396E05" w:rsidP="00396E05">
      <w:pPr>
        <w:ind w:left="720"/>
        <w:rPr>
          <w:b/>
        </w:rPr>
      </w:pPr>
      <w:r w:rsidRPr="00396E05">
        <w:rPr>
          <w:b/>
        </w:rPr>
        <w:t>Important Numbers</w:t>
      </w:r>
    </w:p>
    <w:p w:rsidR="00396E05" w:rsidRDefault="00396E05" w:rsidP="00396E05">
      <w:pPr>
        <w:spacing w:line="360" w:lineRule="auto"/>
        <w:ind w:left="720" w:firstLine="720"/>
        <w:rPr>
          <w:rFonts w:cstheme="minorHAnsi"/>
          <w:color w:val="222222"/>
          <w:shd w:val="clear" w:color="auto" w:fill="FFFFFF"/>
        </w:rPr>
      </w:pPr>
      <w:r w:rsidRPr="00396E05">
        <w:rPr>
          <w:rStyle w:val="il"/>
          <w:rFonts w:cstheme="minorHAnsi"/>
          <w:color w:val="222222"/>
          <w:shd w:val="clear" w:color="auto" w:fill="FFFFFF"/>
        </w:rPr>
        <w:t>Journey</w:t>
      </w:r>
      <w:r w:rsidRPr="00396E05">
        <w:rPr>
          <w:rFonts w:cstheme="minorHAnsi"/>
          <w:color w:val="222222"/>
          <w:shd w:val="clear" w:color="auto" w:fill="FFFFFF"/>
        </w:rPr>
        <w:t> </w:t>
      </w:r>
      <w:r w:rsidRPr="00396E05">
        <w:rPr>
          <w:rStyle w:val="il"/>
          <w:rFonts w:cstheme="minorHAnsi"/>
          <w:color w:val="222222"/>
          <w:shd w:val="clear" w:color="auto" w:fill="FFFFFF"/>
        </w:rPr>
        <w:t>House</w:t>
      </w:r>
      <w:r w:rsidRPr="00396E05">
        <w:rPr>
          <w:rFonts w:cstheme="minorHAnsi"/>
          <w:color w:val="222222"/>
          <w:shd w:val="clear" w:color="auto" w:fill="FFFFFF"/>
        </w:rPr>
        <w:t> at 405-463-5800 or 800-726-0051</w:t>
      </w:r>
    </w:p>
    <w:p w:rsidR="00396E05" w:rsidRDefault="00396E05" w:rsidP="00396E05">
      <w:pPr>
        <w:spacing w:line="360" w:lineRule="auto"/>
        <w:ind w:left="720" w:firstLine="720"/>
        <w:rPr>
          <w:rFonts w:cstheme="minorHAnsi"/>
          <w:color w:val="222222"/>
          <w:shd w:val="clear" w:color="auto" w:fill="FFFFFF"/>
        </w:rPr>
      </w:pPr>
      <w:r>
        <w:rPr>
          <w:rFonts w:cstheme="minorHAnsi"/>
          <w:color w:val="222222"/>
          <w:shd w:val="clear" w:color="auto" w:fill="FFFFFF"/>
        </w:rPr>
        <w:t>Accounts Payable at 918-444-</w:t>
      </w:r>
      <w:r w:rsidR="00A97D7B">
        <w:rPr>
          <w:rFonts w:cstheme="minorHAnsi"/>
          <w:color w:val="222222"/>
          <w:shd w:val="clear" w:color="auto" w:fill="FFFFFF"/>
        </w:rPr>
        <w:t>2169</w:t>
      </w:r>
    </w:p>
    <w:p w:rsidR="00396E05" w:rsidRPr="00396E05" w:rsidRDefault="00396E05" w:rsidP="00396E05">
      <w:pPr>
        <w:ind w:left="720" w:firstLine="720"/>
        <w:rPr>
          <w:rFonts w:cstheme="minorHAnsi"/>
        </w:rPr>
      </w:pPr>
    </w:p>
    <w:sectPr w:rsidR="00396E05" w:rsidRPr="00396E0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D53" w:rsidRDefault="00075D53" w:rsidP="005D297F">
      <w:pPr>
        <w:spacing w:after="0" w:line="240" w:lineRule="auto"/>
      </w:pPr>
      <w:r>
        <w:separator/>
      </w:r>
    </w:p>
  </w:endnote>
  <w:endnote w:type="continuationSeparator" w:id="0">
    <w:p w:rsidR="00075D53" w:rsidRDefault="00075D53" w:rsidP="005D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7F" w:rsidRPr="005D297F" w:rsidRDefault="005D297F">
    <w:pPr>
      <w:pStyle w:val="Footer"/>
      <w:rPr>
        <w:color w:val="767171" w:themeColor="background2" w:themeShade="80"/>
        <w:sz w:val="16"/>
        <w:szCs w:val="16"/>
      </w:rPr>
    </w:pPr>
    <w:r w:rsidRPr="005D297F">
      <w:rPr>
        <w:color w:val="767171" w:themeColor="background2" w:themeShade="80"/>
        <w:sz w:val="16"/>
        <w:szCs w:val="16"/>
      </w:rPr>
      <w:t>Updated 3/10/2020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D53" w:rsidRDefault="00075D53" w:rsidP="005D297F">
      <w:pPr>
        <w:spacing w:after="0" w:line="240" w:lineRule="auto"/>
      </w:pPr>
      <w:r>
        <w:separator/>
      </w:r>
    </w:p>
  </w:footnote>
  <w:footnote w:type="continuationSeparator" w:id="0">
    <w:p w:rsidR="00075D53" w:rsidRDefault="00075D53" w:rsidP="005D2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D1"/>
    <w:rsid w:val="00001391"/>
    <w:rsid w:val="00035BD1"/>
    <w:rsid w:val="0003771E"/>
    <w:rsid w:val="00050640"/>
    <w:rsid w:val="00060B8F"/>
    <w:rsid w:val="00073311"/>
    <w:rsid w:val="00075D53"/>
    <w:rsid w:val="000B7BAB"/>
    <w:rsid w:val="000C5287"/>
    <w:rsid w:val="000C7891"/>
    <w:rsid w:val="000D4500"/>
    <w:rsid w:val="000F45BE"/>
    <w:rsid w:val="001409A2"/>
    <w:rsid w:val="001573D2"/>
    <w:rsid w:val="0016085D"/>
    <w:rsid w:val="001614BC"/>
    <w:rsid w:val="001634D7"/>
    <w:rsid w:val="00165744"/>
    <w:rsid w:val="001714DF"/>
    <w:rsid w:val="001A088C"/>
    <w:rsid w:val="001A5936"/>
    <w:rsid w:val="001E30A8"/>
    <w:rsid w:val="001E5890"/>
    <w:rsid w:val="001E60E5"/>
    <w:rsid w:val="00201BB1"/>
    <w:rsid w:val="00220D90"/>
    <w:rsid w:val="0023132E"/>
    <w:rsid w:val="00281517"/>
    <w:rsid w:val="002A1A61"/>
    <w:rsid w:val="002A5B33"/>
    <w:rsid w:val="002C1641"/>
    <w:rsid w:val="002C18C9"/>
    <w:rsid w:val="002C6EC7"/>
    <w:rsid w:val="002E031E"/>
    <w:rsid w:val="002F2F33"/>
    <w:rsid w:val="002F5431"/>
    <w:rsid w:val="002F5E06"/>
    <w:rsid w:val="0032157D"/>
    <w:rsid w:val="00350057"/>
    <w:rsid w:val="00366740"/>
    <w:rsid w:val="00396E05"/>
    <w:rsid w:val="003B01D6"/>
    <w:rsid w:val="003B5E0F"/>
    <w:rsid w:val="003C5714"/>
    <w:rsid w:val="003E3F90"/>
    <w:rsid w:val="003F37AF"/>
    <w:rsid w:val="003F5480"/>
    <w:rsid w:val="0041272F"/>
    <w:rsid w:val="0043419B"/>
    <w:rsid w:val="0043438B"/>
    <w:rsid w:val="00453C82"/>
    <w:rsid w:val="00462752"/>
    <w:rsid w:val="00486C50"/>
    <w:rsid w:val="004A6798"/>
    <w:rsid w:val="004B754F"/>
    <w:rsid w:val="004C1696"/>
    <w:rsid w:val="004C405D"/>
    <w:rsid w:val="004D4AA4"/>
    <w:rsid w:val="004F378F"/>
    <w:rsid w:val="004F3B3A"/>
    <w:rsid w:val="0054463B"/>
    <w:rsid w:val="005A4B59"/>
    <w:rsid w:val="005B4195"/>
    <w:rsid w:val="005D297F"/>
    <w:rsid w:val="005E1397"/>
    <w:rsid w:val="005F12AE"/>
    <w:rsid w:val="0060441E"/>
    <w:rsid w:val="006116C7"/>
    <w:rsid w:val="0061782E"/>
    <w:rsid w:val="00624CCE"/>
    <w:rsid w:val="00637E61"/>
    <w:rsid w:val="00642151"/>
    <w:rsid w:val="00652AE5"/>
    <w:rsid w:val="00685287"/>
    <w:rsid w:val="006974D6"/>
    <w:rsid w:val="006D266D"/>
    <w:rsid w:val="006D4D5B"/>
    <w:rsid w:val="006F6F0B"/>
    <w:rsid w:val="007118AC"/>
    <w:rsid w:val="00716DA6"/>
    <w:rsid w:val="00731636"/>
    <w:rsid w:val="00736F55"/>
    <w:rsid w:val="00771888"/>
    <w:rsid w:val="00772AD6"/>
    <w:rsid w:val="00774FB4"/>
    <w:rsid w:val="00782268"/>
    <w:rsid w:val="007A3077"/>
    <w:rsid w:val="007A6F21"/>
    <w:rsid w:val="007A7F35"/>
    <w:rsid w:val="007C49AF"/>
    <w:rsid w:val="007D00A9"/>
    <w:rsid w:val="007D468B"/>
    <w:rsid w:val="007D69F6"/>
    <w:rsid w:val="007E03ED"/>
    <w:rsid w:val="00801064"/>
    <w:rsid w:val="00842178"/>
    <w:rsid w:val="0085328C"/>
    <w:rsid w:val="008541BB"/>
    <w:rsid w:val="00872463"/>
    <w:rsid w:val="00877CDF"/>
    <w:rsid w:val="00895D9E"/>
    <w:rsid w:val="008A214A"/>
    <w:rsid w:val="008A65F5"/>
    <w:rsid w:val="008D183B"/>
    <w:rsid w:val="008E3AE2"/>
    <w:rsid w:val="008E6B97"/>
    <w:rsid w:val="008E76D7"/>
    <w:rsid w:val="008F278F"/>
    <w:rsid w:val="009006A4"/>
    <w:rsid w:val="0093799C"/>
    <w:rsid w:val="0094127F"/>
    <w:rsid w:val="00957093"/>
    <w:rsid w:val="00982F79"/>
    <w:rsid w:val="00990249"/>
    <w:rsid w:val="009C2675"/>
    <w:rsid w:val="009D0A12"/>
    <w:rsid w:val="009E2B25"/>
    <w:rsid w:val="009F32DC"/>
    <w:rsid w:val="00A6783E"/>
    <w:rsid w:val="00A85558"/>
    <w:rsid w:val="00A8704F"/>
    <w:rsid w:val="00A97D7B"/>
    <w:rsid w:val="00AB74A9"/>
    <w:rsid w:val="00AC4ED3"/>
    <w:rsid w:val="00AF51E9"/>
    <w:rsid w:val="00AF67F7"/>
    <w:rsid w:val="00B35716"/>
    <w:rsid w:val="00B365DD"/>
    <w:rsid w:val="00B377C1"/>
    <w:rsid w:val="00B4208B"/>
    <w:rsid w:val="00B64D8E"/>
    <w:rsid w:val="00B7799B"/>
    <w:rsid w:val="00B87AE5"/>
    <w:rsid w:val="00BD035B"/>
    <w:rsid w:val="00BF36B9"/>
    <w:rsid w:val="00C0015D"/>
    <w:rsid w:val="00C013B7"/>
    <w:rsid w:val="00C03E18"/>
    <w:rsid w:val="00C50F0C"/>
    <w:rsid w:val="00C51200"/>
    <w:rsid w:val="00C61205"/>
    <w:rsid w:val="00C66607"/>
    <w:rsid w:val="00C672CA"/>
    <w:rsid w:val="00C95FB9"/>
    <w:rsid w:val="00CA1ED1"/>
    <w:rsid w:val="00CA74E4"/>
    <w:rsid w:val="00CB48DE"/>
    <w:rsid w:val="00CC05D0"/>
    <w:rsid w:val="00CF654D"/>
    <w:rsid w:val="00D01243"/>
    <w:rsid w:val="00D05642"/>
    <w:rsid w:val="00D061A9"/>
    <w:rsid w:val="00D11CC1"/>
    <w:rsid w:val="00D47D2C"/>
    <w:rsid w:val="00D57AD5"/>
    <w:rsid w:val="00D75FB1"/>
    <w:rsid w:val="00DA6CE2"/>
    <w:rsid w:val="00DB695A"/>
    <w:rsid w:val="00DC3069"/>
    <w:rsid w:val="00DE01DE"/>
    <w:rsid w:val="00DE2BC3"/>
    <w:rsid w:val="00E30F79"/>
    <w:rsid w:val="00E47FCE"/>
    <w:rsid w:val="00E85DA1"/>
    <w:rsid w:val="00E9302B"/>
    <w:rsid w:val="00EA3745"/>
    <w:rsid w:val="00F27C64"/>
    <w:rsid w:val="00F3103D"/>
    <w:rsid w:val="00F54CDD"/>
    <w:rsid w:val="00F56724"/>
    <w:rsid w:val="00F6117D"/>
    <w:rsid w:val="00F740D1"/>
    <w:rsid w:val="00F75CA7"/>
    <w:rsid w:val="00FA6F1E"/>
    <w:rsid w:val="00FC3E71"/>
    <w:rsid w:val="00FD0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F0A9"/>
  <w15:chartTrackingRefBased/>
  <w15:docId w15:val="{C813D69C-13D3-45E4-84D8-B27A9E63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890"/>
    <w:rPr>
      <w:color w:val="0563C1" w:themeColor="hyperlink"/>
      <w:u w:val="single"/>
    </w:rPr>
  </w:style>
  <w:style w:type="character" w:styleId="UnresolvedMention">
    <w:name w:val="Unresolved Mention"/>
    <w:basedOn w:val="DefaultParagraphFont"/>
    <w:uiPriority w:val="99"/>
    <w:semiHidden/>
    <w:unhideWhenUsed/>
    <w:rsid w:val="0054463B"/>
    <w:rPr>
      <w:color w:val="605E5C"/>
      <w:shd w:val="clear" w:color="auto" w:fill="E1DFDD"/>
    </w:rPr>
  </w:style>
  <w:style w:type="paragraph" w:styleId="Header">
    <w:name w:val="header"/>
    <w:basedOn w:val="Normal"/>
    <w:link w:val="HeaderChar"/>
    <w:uiPriority w:val="99"/>
    <w:unhideWhenUsed/>
    <w:rsid w:val="005D2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97F"/>
  </w:style>
  <w:style w:type="paragraph" w:styleId="Footer">
    <w:name w:val="footer"/>
    <w:basedOn w:val="Normal"/>
    <w:link w:val="FooterChar"/>
    <w:uiPriority w:val="99"/>
    <w:unhideWhenUsed/>
    <w:rsid w:val="005D2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97F"/>
  </w:style>
  <w:style w:type="character" w:customStyle="1" w:styleId="il">
    <w:name w:val="il"/>
    <w:basedOn w:val="DefaultParagraphFont"/>
    <w:rsid w:val="0039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gsaredirect=portalcatego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licies.nsuok.edu/Portals/0/Forms/Travel%20Preapproval%20Request%20Fillable.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ies.nsuok.edu/BusinessFinance/Travel/default.aspx" TargetMode="External"/><Relationship Id="rId11" Type="http://schemas.openxmlformats.org/officeDocument/2006/relationships/hyperlink" Target="https://aoprals.state.gov/web920/per_diem.asp" TargetMode="External"/><Relationship Id="rId5" Type="http://schemas.openxmlformats.org/officeDocument/2006/relationships/endnotes" Target="endnotes.xml"/><Relationship Id="rId10" Type="http://schemas.openxmlformats.org/officeDocument/2006/relationships/hyperlink" Target="https://www.gsa.gov/travel/plan-book/per-diem-rates?gsaredirect=portalcategory" TargetMode="External"/><Relationship Id="rId4" Type="http://schemas.openxmlformats.org/officeDocument/2006/relationships/footnotes" Target="footnotes.xml"/><Relationship Id="rId9" Type="http://schemas.openxmlformats.org/officeDocument/2006/relationships/hyperlink" Target="https://aoprals.state.gov/web920/per_diem.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Rogers Brossier</dc:creator>
  <cp:keywords/>
  <dc:description/>
  <cp:lastModifiedBy>Katrina M Jones</cp:lastModifiedBy>
  <cp:revision>10</cp:revision>
  <cp:lastPrinted>2020-03-10T20:25:00Z</cp:lastPrinted>
  <dcterms:created xsi:type="dcterms:W3CDTF">2016-03-11T17:27:00Z</dcterms:created>
  <dcterms:modified xsi:type="dcterms:W3CDTF">2022-09-20T14:08:00Z</dcterms:modified>
</cp:coreProperties>
</file>